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0DB004B" w:rsidR="00721F6C" w:rsidRPr="00721F6C" w:rsidRDefault="00C87AE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Del Salvador</w:t>
            </w:r>
            <w:r w:rsidR="004E46B1">
              <w:rPr>
                <w:rFonts w:ascii="Arial" w:hAnsi="Arial" w:cs="Arial"/>
                <w:sz w:val="20"/>
                <w:szCs w:val="20"/>
              </w:rPr>
              <w:t>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1AD3665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87AE6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858B201" w:rsidR="00721F6C" w:rsidRPr="00721F6C" w:rsidRDefault="00C87AE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7B5F286" w:rsidR="00721F6C" w:rsidRPr="00721F6C" w:rsidRDefault="00C87AE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13-01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E1D91C3" w:rsidR="007F6BE0" w:rsidRPr="00721F6C" w:rsidRDefault="00C87AE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51143E3E" w:rsidR="007F6BE0" w:rsidRPr="007F6BE0" w:rsidRDefault="00C87AE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 1128-0422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72DA0B8" w:rsidR="007F6BE0" w:rsidRPr="007F6BE0" w:rsidRDefault="001776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laser system shows a “</w:t>
            </w:r>
            <w:r w:rsidR="00C87AE6">
              <w:rPr>
                <w:rFonts w:ascii="Arial" w:hAnsi="Arial" w:cs="Arial"/>
                <w:sz w:val="20"/>
                <w:szCs w:val="20"/>
              </w:rPr>
              <w:t>Termostato</w:t>
            </w:r>
            <w:r>
              <w:rPr>
                <w:rFonts w:ascii="Arial" w:hAnsi="Arial" w:cs="Arial"/>
                <w:sz w:val="20"/>
                <w:szCs w:val="20"/>
              </w:rPr>
              <w:t>” error during initial check list or in middle of a procidure.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103BEB15" w:rsidR="005B7091" w:rsidRPr="00724F91" w:rsidRDefault="00E2755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221664A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D2BC793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02106AD" w:rsidR="00C764D8" w:rsidRPr="00724F91" w:rsidRDefault="00BC3B8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454</Words>
  <Characters>2497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23</cp:revision>
  <cp:lastPrinted>2021-11-11T08:42:00Z</cp:lastPrinted>
  <dcterms:created xsi:type="dcterms:W3CDTF">2022-06-28T20:30:00Z</dcterms:created>
  <dcterms:modified xsi:type="dcterms:W3CDTF">2023-01-13T18:01:00Z</dcterms:modified>
</cp:coreProperties>
</file>