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tabs>
          <w:tab w:val="left" w:leader="none" w:pos="425.19685039370074"/>
          <w:tab w:val="left" w:leader="none" w:pos="1700"/>
        </w:tabs>
        <w:jc w:val="center"/>
        <w:rPr>
          <w:rFonts w:ascii="Calibri" w:cs="Calibri" w:eastAsia="Calibri" w:hAnsi="Calibri"/>
          <w:b w:val="1"/>
          <w:i w:val="1"/>
          <w:sz w:val="28"/>
          <w:szCs w:val="28"/>
        </w:rPr>
      </w:pPr>
      <w:bookmarkStart w:colFirst="0" w:colLast="0" w:name="_4hrcnd71f4f6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tabs>
          <w:tab w:val="left" w:leader="none" w:pos="425.19685039370074"/>
          <w:tab w:val="left" w:leader="none" w:pos="1700"/>
        </w:tabs>
        <w:jc w:val="center"/>
        <w:rPr>
          <w:rFonts w:ascii="Calibri" w:cs="Calibri" w:eastAsia="Calibri" w:hAnsi="Calibri"/>
          <w:b w:val="1"/>
          <w:i w:val="1"/>
          <w:sz w:val="28"/>
          <w:szCs w:val="28"/>
        </w:rPr>
      </w:pPr>
      <w:bookmarkStart w:colFirst="0" w:colLast="0" w:name="_7zn7eqgije3" w:id="1"/>
      <w:bookmarkEnd w:id="1"/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PROTOCOLO DE ANÁLISIS DE SEGURIDAD ELÉCTRICA</w:t>
      </w:r>
    </w:p>
    <w:p w:rsidR="00000000" w:rsidDel="00000000" w:rsidP="00000000" w:rsidRDefault="00000000" w:rsidRPr="00000000" w14:paraId="00000003">
      <w:pPr>
        <w:pStyle w:val="Title"/>
        <w:pageBreakBefore w:val="0"/>
        <w:tabs>
          <w:tab w:val="left" w:leader="none" w:pos="425.19685039370074"/>
          <w:tab w:val="left" w:leader="none" w:pos="1700"/>
        </w:tabs>
        <w:jc w:val="center"/>
        <w:rPr>
          <w:rFonts w:ascii="Calibri" w:cs="Calibri" w:eastAsia="Calibri" w:hAnsi="Calibri"/>
          <w:b w:val="1"/>
          <w:i w:val="1"/>
          <w:sz w:val="28"/>
          <w:szCs w:val="28"/>
        </w:rPr>
      </w:pPr>
      <w:bookmarkStart w:colFirst="0" w:colLast="0" w:name="_6pk1cvsaj8y9" w:id="2"/>
      <w:bookmarkEnd w:id="2"/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PARA LÁSERES MÉDICOS Y QUIRÚRGICOS DE QUANTA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tabs>
          <w:tab w:val="left" w:leader="none" w:pos="425.19685039370074"/>
          <w:tab w:val="left" w:leader="none" w:pos="1700"/>
        </w:tabs>
        <w:jc w:val="cente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tabs>
          <w:tab w:val="left" w:leader="none" w:pos="425.19685039370074"/>
          <w:tab w:val="left" w:leader="none" w:pos="1700"/>
        </w:tabs>
        <w:jc w:val="center"/>
        <w:rPr>
          <w:rFonts w:ascii="Calibri" w:cs="Calibri" w:eastAsia="Calibri" w:hAnsi="Calibri"/>
          <w:b w:val="1"/>
          <w:i w:val="1"/>
        </w:rPr>
      </w:pPr>
      <w:bookmarkStart w:colFirst="0" w:colLast="0" w:name="_gjdgxs" w:id="3"/>
      <w:bookmarkEnd w:id="3"/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Surgical and Medical Lasers, Quanta System</w:t>
      </w:r>
    </w:p>
    <w:p w:rsidR="00000000" w:rsidDel="00000000" w:rsidP="00000000" w:rsidRDefault="00000000" w:rsidRPr="00000000" w14:paraId="00000006">
      <w:pPr>
        <w:pageBreakBefore w:val="0"/>
        <w:tabs>
          <w:tab w:val="left" w:leader="none" w:pos="425.19685039370074"/>
          <w:tab w:val="left" w:leader="none" w:pos="1700"/>
        </w:tabs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Cencomex S.A</w:t>
      </w:r>
    </w:p>
    <w:p w:rsidR="00000000" w:rsidDel="00000000" w:rsidP="00000000" w:rsidRDefault="00000000" w:rsidRPr="00000000" w14:paraId="00000007">
      <w:pPr>
        <w:pageBreakBefore w:val="0"/>
        <w:tabs>
          <w:tab w:val="left" w:leader="none" w:pos="425.19685039370074"/>
          <w:tab w:val="left" w:leader="none" w:pos="1700"/>
        </w:tabs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Central de Compras del Extrasistema S.A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tabs>
          <w:tab w:val="left" w:leader="none" w:pos="425.19685039370074"/>
          <w:tab w:val="left" w:leader="none" w:pos="1700"/>
        </w:tabs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tabs>
          <w:tab w:val="left" w:leader="none" w:pos="425.19685039370074"/>
        </w:tabs>
        <w:ind w:left="0" w:firstLine="0"/>
        <w:rPr>
          <w:rFonts w:ascii="Calibri" w:cs="Calibri" w:eastAsia="Calibri" w:hAnsi="Calibri"/>
          <w:color w:val="cccccc"/>
        </w:rPr>
      </w:pPr>
      <w:r w:rsidDel="00000000" w:rsidR="00000000" w:rsidRPr="00000000">
        <w:rPr>
          <w:rFonts w:ascii="Calibri" w:cs="Calibri" w:eastAsia="Calibri" w:hAnsi="Calibri"/>
          <w:color w:val="cccccc"/>
          <w:rtl w:val="0"/>
        </w:rPr>
        <w:t xml:space="preserve">----------------------------------------------------------------------------------------------------------------------------------------------------------------------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0A">
      <w:pPr>
        <w:pageBreakBefore w:val="0"/>
        <w:tabs>
          <w:tab w:val="left" w:leader="none" w:pos="425.19685039370074"/>
        </w:tabs>
        <w:ind w:left="0" w:firstLine="0"/>
        <w:rPr>
          <w:rFonts w:ascii="Calibri" w:cs="Calibri" w:eastAsia="Calibri" w:hAnsi="Calibri"/>
          <w:color w:val="cccc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425.19685039370074"/>
        </w:tabs>
        <w:ind w:left="0" w:firstLine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INSTRUCCIONES DE USO</w:t>
      </w:r>
    </w:p>
    <w:p w:rsidR="00000000" w:rsidDel="00000000" w:rsidP="00000000" w:rsidRDefault="00000000" w:rsidRPr="00000000" w14:paraId="0000000C">
      <w:pPr>
        <w:tabs>
          <w:tab w:val="left" w:leader="none" w:pos="425.19685039370074"/>
        </w:tabs>
        <w:ind w:left="0" w:firstLine="0"/>
        <w:rPr>
          <w:rFonts w:ascii="Calibri" w:cs="Calibri" w:eastAsia="Calibri" w:hAnsi="Calibri"/>
          <w:i w:val="1"/>
          <w:color w:val="990000"/>
          <w:sz w:val="10"/>
          <w:szCs w:val="10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color w:val="990000"/>
          <w:sz w:val="24"/>
          <w:szCs w:val="24"/>
          <w:rtl w:val="0"/>
        </w:rPr>
        <w:t xml:space="preserve">→ </w:t>
      </w:r>
      <w:r w:rsidDel="00000000" w:rsidR="00000000" w:rsidRPr="00000000">
        <w:rPr>
          <w:rFonts w:ascii="Calibri" w:cs="Calibri" w:eastAsia="Calibri" w:hAnsi="Calibri"/>
          <w:i w:val="1"/>
          <w:color w:val="990000"/>
          <w:sz w:val="24"/>
          <w:szCs w:val="24"/>
          <w:u w:val="single"/>
          <w:rtl w:val="0"/>
        </w:rPr>
        <w:t xml:space="preserve">Previo al encendido del equipo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425.19685039370074"/>
        </w:tabs>
        <w:ind w:left="0" w:firstLine="0"/>
        <w:rPr>
          <w:rFonts w:ascii="Calibri" w:cs="Calibri" w:eastAsia="Calibri" w:hAnsi="Calibri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tabs>
          <w:tab w:val="left" w:leader="none" w:pos="425.19685039370074"/>
        </w:tabs>
        <w:ind w:left="1440" w:hanging="36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El analizador de seguridad eléctrica debe situarse en la configuración bajo la norma IEC.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tabs>
          <w:tab w:val="left" w:leader="none" w:pos="425.19685039370074"/>
        </w:tabs>
        <w:ind w:left="1440" w:hanging="360"/>
        <w:rPr>
          <w:rFonts w:ascii="Calibri" w:cs="Calibri" w:eastAsia="Calibri" w:hAnsi="Calibri"/>
          <w:i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Las luces ubicadas en la parte izquierda del panel digital deben encenderse en el recuadro de ‘OK’.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tabs>
          <w:tab w:val="left" w:leader="none" w:pos="425.19685039370074"/>
        </w:tabs>
        <w:ind w:left="1440" w:hanging="360"/>
        <w:rPr>
          <w:rFonts w:ascii="Calibri" w:cs="Calibri" w:eastAsia="Calibri" w:hAnsi="Calibri"/>
          <w:i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Asimismo, ‘Hot’, ‘Neutral’ y ‘Ground’, deben poseer la condición de ‘CLOSED’.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tabs>
          <w:tab w:val="left" w:leader="none" w:pos="425.19685039370074"/>
        </w:tabs>
        <w:ind w:left="1440" w:hanging="360"/>
        <w:rPr>
          <w:rFonts w:ascii="Calibri" w:cs="Calibri" w:eastAsia="Calibri" w:hAnsi="Calibri"/>
          <w:i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 su vez, ‘Polarity’, debe estar en la condición ‘FWD’.</w:t>
      </w:r>
    </w:p>
    <w:p w:rsidR="00000000" w:rsidDel="00000000" w:rsidP="00000000" w:rsidRDefault="00000000" w:rsidRPr="00000000" w14:paraId="00000012">
      <w:pPr>
        <w:tabs>
          <w:tab w:val="left" w:leader="none" w:pos="425.19685039370074"/>
        </w:tabs>
        <w:ind w:left="0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ab/>
        <w:tab/>
        <w:tab/>
      </w:r>
    </w:p>
    <w:p w:rsidR="00000000" w:rsidDel="00000000" w:rsidP="00000000" w:rsidRDefault="00000000" w:rsidRPr="00000000" w14:paraId="00000013">
      <w:pPr>
        <w:tabs>
          <w:tab w:val="left" w:leader="none" w:pos="425.19685039370074"/>
        </w:tabs>
        <w:ind w:left="0" w:firstLine="0"/>
        <w:rPr>
          <w:rFonts w:ascii="Calibri" w:cs="Calibri" w:eastAsia="Calibri" w:hAnsi="Calibri"/>
          <w:i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ab/>
        <w:tab/>
        <w:t xml:space="preserve">→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u w:val="single"/>
          <w:rtl w:val="0"/>
        </w:rPr>
        <w:t xml:space="preserve">Si el equipo láser corresponde a un modelo Litho</w:t>
        <w:tab/>
        <w:tab/>
      </w:r>
    </w:p>
    <w:p w:rsidR="00000000" w:rsidDel="00000000" w:rsidP="00000000" w:rsidRDefault="00000000" w:rsidRPr="00000000" w14:paraId="00000014">
      <w:pPr>
        <w:tabs>
          <w:tab w:val="left" w:leader="none" w:pos="425.19685039370074"/>
        </w:tabs>
        <w:ind w:left="0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ab/>
        <w:tab/>
        <w:tab/>
        <w:t xml:space="preserve">La conexión de puesta a tierra debe conectarse directamente al chasis del equipo mediante el desplazamiento de la placa lateral derecha; misma placa a remover al momento de realizar el cambio de filtro de-ionizante. Utilizar el cable negro con pinza para conectar conectar al chasis.</w:t>
      </w:r>
    </w:p>
    <w:p w:rsidR="00000000" w:rsidDel="00000000" w:rsidP="00000000" w:rsidRDefault="00000000" w:rsidRPr="00000000" w14:paraId="00000015">
      <w:pPr>
        <w:tabs>
          <w:tab w:val="left" w:leader="none" w:pos="425.19685039370074"/>
        </w:tabs>
        <w:ind w:left="0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425.19685039370074"/>
        </w:tabs>
        <w:rPr>
          <w:rFonts w:ascii="Calibri" w:cs="Calibri" w:eastAsia="Calibri" w:hAnsi="Calibri"/>
          <w:i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ab/>
        <w:tab/>
        <w:t xml:space="preserve">→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u w:val="single"/>
          <w:rtl w:val="0"/>
        </w:rPr>
        <w:t xml:space="preserve">Si el equipo láser corresponde a otros modelos de la línea</w:t>
        <w:tab/>
        <w:tab/>
      </w:r>
    </w:p>
    <w:p w:rsidR="00000000" w:rsidDel="00000000" w:rsidP="00000000" w:rsidRDefault="00000000" w:rsidRPr="00000000" w14:paraId="00000017">
      <w:pPr>
        <w:tabs>
          <w:tab w:val="left" w:leader="none" w:pos="425.19685039370074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ab/>
        <w:tab/>
        <w:tab/>
        <w:t xml:space="preserve">La conexión de puesta a tierra debe conectarse a la conexión equipotencial situada en la parte posterior del equipo láser. Utilizar el cable verde-amarillo con conector hembra para conectar al punto equipotencial.</w:t>
      </w:r>
    </w:p>
    <w:p w:rsidR="00000000" w:rsidDel="00000000" w:rsidP="00000000" w:rsidRDefault="00000000" w:rsidRPr="00000000" w14:paraId="00000018">
      <w:pPr>
        <w:tabs>
          <w:tab w:val="left" w:leader="none" w:pos="425.19685039370074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425.19685039370074"/>
        </w:tabs>
        <w:rPr>
          <w:rFonts w:ascii="Calibri" w:cs="Calibri" w:eastAsia="Calibri" w:hAnsi="Calibri"/>
          <w:i w:val="1"/>
          <w:color w:val="9900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color w:val="990000"/>
          <w:sz w:val="24"/>
          <w:szCs w:val="24"/>
          <w:rtl w:val="0"/>
        </w:rPr>
        <w:t xml:space="preserve">→ </w:t>
      </w:r>
      <w:r w:rsidDel="00000000" w:rsidR="00000000" w:rsidRPr="00000000">
        <w:rPr>
          <w:rFonts w:ascii="Calibri" w:cs="Calibri" w:eastAsia="Calibri" w:hAnsi="Calibri"/>
          <w:i w:val="1"/>
          <w:color w:val="990000"/>
          <w:sz w:val="24"/>
          <w:szCs w:val="24"/>
          <w:u w:val="single"/>
          <w:rtl w:val="0"/>
        </w:rPr>
        <w:t xml:space="preserve">Posterior al encendido del equipo</w:t>
        <w:tab/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tabs>
          <w:tab w:val="left" w:leader="none" w:pos="425.19685039370074"/>
        </w:tabs>
        <w:ind w:left="1440" w:hanging="36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Una vez ya verificados los pasos anteriores y posterior al encender el equipo correctamente, se deben registrar los valores de ‘Volts’, ‘Amps’, y ‘Ohms’ medidos por el analizador de seguridad eléctrica.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tabs>
          <w:tab w:val="left" w:leader="none" w:pos="425.19685039370074"/>
        </w:tabs>
        <w:ind w:left="1440" w:hanging="360"/>
        <w:rPr>
          <w:rFonts w:ascii="Calibri" w:cs="Calibri" w:eastAsia="Calibri" w:hAnsi="Calibri"/>
          <w:i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Posteriormente, continuar realizando los apartados descritos en el protocolo.</w:t>
      </w:r>
    </w:p>
    <w:p w:rsidR="00000000" w:rsidDel="00000000" w:rsidP="00000000" w:rsidRDefault="00000000" w:rsidRPr="00000000" w14:paraId="0000001C">
      <w:pPr>
        <w:tabs>
          <w:tab w:val="left" w:leader="none" w:pos="425.19685039370074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425.19685039370074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ab/>
        <w:tab/>
        <w:t xml:space="preserve">→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u w:val="single"/>
          <w:rtl w:val="0"/>
        </w:rPr>
        <w:t xml:space="preserve">Considerar que en los apartados de ‘Condición Falla Única’, se debe mantener oprimido el botón de ‘Ground’ para mantener abierta la tierra del circuito y poder registrar el valor correctamente.</w:t>
        <w:tab/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020.472440944882" w:top="1417.3228346456694" w:left="1020.472440944882" w:right="1020.472440944882" w:header="1021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bottom w:color="7f7f7f" w:space="1" w:sz="4" w:val="single"/>
      </w:pBdr>
      <w:jc w:val="center"/>
      <w:rPr>
        <w:rFonts w:ascii="Calibri" w:cs="Calibri" w:eastAsia="Calibri" w:hAnsi="Calibri"/>
        <w:i w:val="1"/>
        <w:color w:val="666666"/>
        <w:sz w:val="18"/>
        <w:szCs w:val="18"/>
      </w:rPr>
    </w:pPr>
    <w:r w:rsidDel="00000000" w:rsidR="00000000" w:rsidRPr="00000000">
      <w:rPr>
        <w:rFonts w:ascii="Calibri" w:cs="Calibri" w:eastAsia="Calibri" w:hAnsi="Calibri"/>
        <w:i w:val="1"/>
        <w:color w:val="666666"/>
        <w:sz w:val="18"/>
        <w:szCs w:val="18"/>
        <w:rtl w:val="0"/>
      </w:rPr>
      <w:t xml:space="preserve">www.cencomex.cl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bottom w:color="7f7f7f" w:space="1" w:sz="4" w:val="single"/>
      </w:pBdr>
      <w:jc w:val="center"/>
      <w:rPr>
        <w:rFonts w:ascii="Calibri" w:cs="Calibri" w:eastAsia="Calibri" w:hAnsi="Calibri"/>
        <w:i w:val="1"/>
        <w:color w:val="666666"/>
        <w:sz w:val="18"/>
        <w:szCs w:val="18"/>
      </w:rPr>
    </w:pPr>
    <w:r w:rsidDel="00000000" w:rsidR="00000000" w:rsidRPr="00000000">
      <w:rPr>
        <w:rFonts w:ascii="Calibri" w:cs="Calibri" w:eastAsia="Calibri" w:hAnsi="Calibri"/>
        <w:i w:val="1"/>
        <w:color w:val="666666"/>
        <w:sz w:val="18"/>
        <w:szCs w:val="18"/>
        <w:rtl w:val="0"/>
      </w:rPr>
      <w:t xml:space="preserve">cencomex@cencomex.cl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bottom w:color="7f7f7f" w:space="1" w:sz="4" w:val="single"/>
      </w:pBdr>
      <w:jc w:val="center"/>
      <w:rPr>
        <w:rFonts w:ascii="Calibri" w:cs="Calibri" w:eastAsia="Calibri" w:hAnsi="Calibri"/>
        <w:i w:val="1"/>
        <w:color w:val="666666"/>
        <w:sz w:val="18"/>
        <w:szCs w:val="18"/>
      </w:rPr>
    </w:pPr>
    <w:r w:rsidDel="00000000" w:rsidR="00000000" w:rsidRPr="00000000">
      <w:rPr>
        <w:rFonts w:ascii="Calibri" w:cs="Calibri" w:eastAsia="Calibri" w:hAnsi="Calibri"/>
        <w:i w:val="1"/>
        <w:color w:val="666666"/>
        <w:sz w:val="18"/>
        <w:szCs w:val="18"/>
        <w:rtl w:val="0"/>
      </w:rPr>
      <w:t xml:space="preserve">Galvarino 7640  -  Parque Industrial Aconcagua, Quilicura, Santiago  -  Chile.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bottom w:color="7f7f7f" w:space="1" w:sz="4" w:val="single"/>
      </w:pBdr>
      <w:jc w:val="left"/>
      <w:rPr>
        <w:rFonts w:ascii="Calibri" w:cs="Calibri" w:eastAsia="Calibri" w:hAnsi="Calibri"/>
        <w:i w:val="1"/>
        <w:color w:val="666666"/>
        <w:sz w:val="18"/>
        <w:szCs w:val="18"/>
      </w:rPr>
    </w:pPr>
    <w:r w:rsidDel="00000000" w:rsidR="00000000" w:rsidRPr="00000000">
      <w:rPr>
        <w:rFonts w:ascii="Calibri" w:cs="Calibri" w:eastAsia="Calibri" w:hAnsi="Calibri"/>
        <w:i w:val="1"/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1"/>
        <w:color w:val="666666"/>
        <w:sz w:val="18"/>
        <w:szCs w:val="18"/>
        <w:rtl w:val="0"/>
      </w:rPr>
      <w:t xml:space="preserve"> |   PROTOCOLO DE ANÁLISIS DE SEGURIDAD ELÉCTRICA     -     </w:t>
    </w:r>
    <w:r w:rsidDel="00000000" w:rsidR="00000000" w:rsidRPr="00000000">
      <w:rPr>
        <w:rFonts w:ascii="Calibri" w:cs="Calibri" w:eastAsia="Calibri" w:hAnsi="Calibri"/>
        <w:i w:val="1"/>
        <w:color w:val="666666"/>
        <w:sz w:val="18"/>
        <w:szCs w:val="18"/>
        <w:rtl w:val="0"/>
      </w:rPr>
      <w:t xml:space="preserve">PRASEL</w:t>
    </w:r>
    <w:r w:rsidDel="00000000" w:rsidR="00000000" w:rsidRPr="00000000">
      <w:rPr>
        <w:rFonts w:ascii="Calibri" w:cs="Calibri" w:eastAsia="Calibri" w:hAnsi="Calibri"/>
        <w:i w:val="1"/>
        <w:color w:val="666666"/>
        <w:sz w:val="18"/>
        <w:szCs w:val="18"/>
        <w:rtl w:val="0"/>
      </w:rPr>
      <w:t xml:space="preserve">                                                                                            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-380999</wp:posOffset>
          </wp:positionV>
          <wp:extent cx="769976" cy="648000"/>
          <wp:effectExtent b="0" l="0" r="0" t="0"/>
          <wp:wrapNone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>
                    <a:alphaModFix amt="10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9976" cy="64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4247550</wp:posOffset>
          </wp:positionH>
          <wp:positionV relativeFrom="paragraph">
            <wp:posOffset>-257174</wp:posOffset>
          </wp:positionV>
          <wp:extent cx="2229480" cy="396000"/>
          <wp:effectExtent b="0" l="0" r="0" t="0"/>
          <wp:wrapNone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>
                    <a:alphaModFix amt="20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29480" cy="396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4252913</wp:posOffset>
          </wp:positionH>
          <wp:positionV relativeFrom="paragraph">
            <wp:posOffset>-361949</wp:posOffset>
          </wp:positionV>
          <wp:extent cx="2217600" cy="396000"/>
          <wp:effectExtent b="0" l="0" r="0" t="0"/>
          <wp:wrapNone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>
                    <a:alphaModFix amt="20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7600" cy="396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-485774</wp:posOffset>
          </wp:positionV>
          <wp:extent cx="769976" cy="648000"/>
          <wp:effectExtent b="0" l="0" r="0" t="0"/>
          <wp:wrapNone/>
          <wp:docPr id="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>
                    <a:alphaModFix amt="10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9976" cy="648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_tradnl"/>
      </w:rPr>
    </w:rPrDefault>
    <w:pPrDefault>
      <w:pPr>
        <w:tabs>
          <w:tab w:val="left" w:leader="none" w:pos="1700"/>
        </w:tabs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40" w:before="240" w:lineRule="auto"/>
    </w:pPr>
    <w:rPr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tabs>
        <w:tab w:val="left" w:leader="none" w:pos="1700"/>
      </w:tabs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ind w:left="1134" w:hanging="1134"/>
    </w:pPr>
    <w:rPr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40" w:lineRule="auto"/>
      <w:ind w:left="864" w:hanging="864"/>
    </w:pPr>
    <w:rPr>
      <w:rFonts w:ascii="Calibri" w:cs="Calibri" w:eastAsia="Calibri" w:hAnsi="Calibri"/>
      <w:i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40" w:lineRule="auto"/>
      <w:ind w:left="1008" w:hanging="1008"/>
    </w:pPr>
    <w:rPr>
      <w:rFonts w:ascii="Calibri" w:cs="Calibri" w:eastAsia="Calibri" w:hAnsi="Calibri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40" w:lineRule="auto"/>
      <w:ind w:left="1152" w:hanging="1152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pageBreakBefore w:val="0"/>
      <w:tabs>
        <w:tab w:val="left" w:leader="none" w:pos="1700"/>
      </w:tabs>
      <w:jc w:val="center"/>
    </w:pPr>
    <w:rPr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